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3D7" w:rsidRDefault="00D77183">
      <w:pPr>
        <w:adjustRightInd w:val="0"/>
        <w:snapToGrid w:val="0"/>
        <w:spacing w:line="276" w:lineRule="auto"/>
        <w:rPr>
          <w:rFonts w:ascii="方正仿宋_GBK" w:hAnsi="仿宋"/>
          <w:color w:val="000000"/>
          <w:szCs w:val="32"/>
        </w:rPr>
      </w:pPr>
      <w:r>
        <w:rPr>
          <w:rFonts w:ascii="方正仿宋_GBK" w:hAnsi="仿宋" w:hint="eastAsia"/>
          <w:color w:val="000000"/>
          <w:szCs w:val="32"/>
        </w:rPr>
        <w:t>附件</w:t>
      </w:r>
      <w:r>
        <w:rPr>
          <w:rFonts w:ascii="方正仿宋_GBK" w:hAnsi="仿宋" w:hint="eastAsia"/>
          <w:color w:val="000000"/>
          <w:szCs w:val="32"/>
        </w:rPr>
        <w:t>4</w:t>
      </w:r>
      <w:r w:rsidR="00B74769">
        <w:rPr>
          <w:rFonts w:ascii="方正仿宋_GBK" w:hAnsi="仿宋" w:hint="eastAsia"/>
          <w:color w:val="000000"/>
          <w:szCs w:val="32"/>
        </w:rPr>
        <w:t>-1</w:t>
      </w:r>
    </w:p>
    <w:p w:rsidR="000363D7" w:rsidRDefault="00D77183">
      <w:pPr>
        <w:adjustRightInd w:val="0"/>
        <w:snapToGrid w:val="0"/>
        <w:spacing w:line="276" w:lineRule="auto"/>
        <w:jc w:val="center"/>
        <w:rPr>
          <w:rFonts w:ascii="方正仿宋_GBK" w:hAnsi="方正仿宋_GBK" w:cs="方正仿宋_GBK"/>
          <w:b/>
          <w:szCs w:val="32"/>
        </w:rPr>
      </w:pPr>
      <w:r>
        <w:rPr>
          <w:rFonts w:ascii="方正仿宋_GBK" w:hAnsi="方正仿宋_GBK" w:cs="方正仿宋_GBK" w:hint="eastAsia"/>
          <w:b/>
          <w:szCs w:val="32"/>
        </w:rPr>
        <w:t>校级线下</w:t>
      </w:r>
      <w:r>
        <w:rPr>
          <w:rFonts w:ascii="方正仿宋_GBK" w:hAnsi="方正仿宋_GBK" w:cs="方正仿宋_GBK" w:hint="eastAsia"/>
          <w:b/>
          <w:szCs w:val="32"/>
        </w:rPr>
        <w:t>一流本科课程</w:t>
      </w:r>
      <w:r>
        <w:rPr>
          <w:rFonts w:ascii="方正仿宋_GBK" w:hAnsi="方正仿宋_GBK" w:cs="方正仿宋_GBK" w:hint="eastAsia"/>
          <w:b/>
          <w:szCs w:val="32"/>
        </w:rPr>
        <w:t>建设</w:t>
      </w:r>
      <w:r>
        <w:rPr>
          <w:rFonts w:ascii="方正仿宋_GBK" w:hAnsi="方正仿宋_GBK" w:cs="方正仿宋_GBK" w:hint="eastAsia"/>
          <w:b/>
          <w:color w:val="000000"/>
          <w:szCs w:val="32"/>
        </w:rPr>
        <w:t>与验收</w:t>
      </w:r>
      <w:r>
        <w:rPr>
          <w:rFonts w:ascii="方正仿宋_GBK" w:hAnsi="方正仿宋_GBK" w:cs="方正仿宋_GBK" w:hint="eastAsia"/>
          <w:b/>
          <w:szCs w:val="32"/>
        </w:rPr>
        <w:t>标准</w:t>
      </w:r>
    </w:p>
    <w:tbl>
      <w:tblPr>
        <w:tblW w:w="91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1575"/>
        <w:gridCol w:w="5221"/>
        <w:gridCol w:w="842"/>
      </w:tblGrid>
      <w:tr w:rsidR="000363D7">
        <w:trPr>
          <w:trHeight w:val="876"/>
          <w:tblHeader/>
          <w:jc w:val="center"/>
        </w:trPr>
        <w:tc>
          <w:tcPr>
            <w:tcW w:w="1531" w:type="dxa"/>
            <w:shd w:val="clear" w:color="000000" w:fill="F8F8F8"/>
            <w:vAlign w:val="center"/>
          </w:tcPr>
          <w:p w:rsidR="000363D7" w:rsidRDefault="00D77183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2"/>
                <w:szCs w:val="22"/>
              </w:rPr>
              <w:t>一级指标</w:t>
            </w:r>
          </w:p>
        </w:tc>
        <w:tc>
          <w:tcPr>
            <w:tcW w:w="1575" w:type="dxa"/>
            <w:shd w:val="clear" w:color="000000" w:fill="F8F8F8"/>
            <w:vAlign w:val="center"/>
          </w:tcPr>
          <w:p w:rsidR="000363D7" w:rsidRDefault="00D77183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2"/>
                <w:szCs w:val="22"/>
              </w:rPr>
              <w:t>二级指标</w:t>
            </w:r>
          </w:p>
        </w:tc>
        <w:tc>
          <w:tcPr>
            <w:tcW w:w="5221" w:type="dxa"/>
            <w:shd w:val="clear" w:color="000000" w:fill="F8F8F8"/>
            <w:vAlign w:val="center"/>
          </w:tcPr>
          <w:p w:rsidR="000363D7" w:rsidRDefault="00D77183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2"/>
                <w:szCs w:val="22"/>
              </w:rPr>
              <w:t>基本要求</w:t>
            </w:r>
          </w:p>
        </w:tc>
        <w:tc>
          <w:tcPr>
            <w:tcW w:w="842" w:type="dxa"/>
            <w:shd w:val="clear" w:color="000000" w:fill="F8F8F8"/>
            <w:vAlign w:val="center"/>
          </w:tcPr>
          <w:p w:rsidR="000363D7" w:rsidRDefault="00D7718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分值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课程目标</w:t>
            </w: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1-1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融合性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“价值塑造、能力培养、知识建构”目标有机融合，有力支撑毕业要求，注重思维训练与高阶知识、高阶能力的培养。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5 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 w:val="restart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课程团队</w:t>
            </w: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2-1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负责人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师德师风良好，具有高级及以上职称，具备较高专业水平和教学能力，教学理念先进，注重教改研究。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5 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</w:p>
        </w:tc>
      </w:tr>
      <w:tr w:rsidR="000363D7">
        <w:trPr>
          <w:trHeight w:val="690"/>
          <w:jc w:val="center"/>
        </w:trPr>
        <w:tc>
          <w:tcPr>
            <w:tcW w:w="1531" w:type="dxa"/>
            <w:vMerge/>
            <w:shd w:val="clear" w:color="000000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2-2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团队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师德师风良好，专业结构合理，教学水平高，具有实践背景。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5 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 w:val="restart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3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教学内容</w:t>
            </w: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3-1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思想性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落实立德树人，发挥价值塑造作用，将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课程思政有效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落实在课堂学习、课程作业、实践教学和课程考核中。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/>
            <w:shd w:val="clear" w:color="000000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3-2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前沿性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有效支撑课程目标的实现，具有国际视野，体现专业领域发展的新理念、新成果、新应用。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10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/>
            <w:shd w:val="clear" w:color="000000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3-3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挑战性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具有学科交叉属性、学术属性和创新属性，设有挑战性任务学习，培养批判思维和解决复杂实际问题能力。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10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 w:val="restart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4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教学设计</w:t>
            </w: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4-1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创新性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以“学”为中心创新教学模式，实施合作式、研讨式、案例式、研究性学习，促进学生主动学习。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/>
            <w:shd w:val="clear" w:color="000000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4-2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信息化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应用智慧教学工具，推进虚拟仿真等信息技术与课程教学的深度融合。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/>
            <w:shd w:val="clear" w:color="000000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4-3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综合性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FF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sz w:val="22"/>
                <w:szCs w:val="22"/>
              </w:rPr>
              <w:t>设有综合性、创新性、协作式的课程项目或大作业，促进学生课内外结合学习。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10 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/>
            <w:shd w:val="clear" w:color="000000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4-4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指导性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建有课程网络学习资源，为学生提供标准规范、案例、文献、习题等拓展性学习资料；针对学生学习需要，开展辅导、指导、讨论等活动</w:t>
            </w:r>
            <w:r>
              <w:rPr>
                <w:rFonts w:ascii="仿宋" w:eastAsia="仿宋" w:hAnsi="仿宋" w:cs="宋体" w:hint="eastAsia"/>
                <w:sz w:val="22"/>
                <w:szCs w:val="22"/>
              </w:rPr>
              <w:t>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10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 w:val="restart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 xml:space="preserve">5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课程考核</w:t>
            </w: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5-1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过程性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注重过程考核和评价，突出对学生能力素质的评价，</w:t>
            </w:r>
            <w:r>
              <w:rPr>
                <w:rFonts w:ascii="仿宋" w:eastAsia="仿宋" w:hAnsi="仿宋" w:cs="宋体" w:hint="eastAsia"/>
                <w:sz w:val="22"/>
                <w:szCs w:val="22"/>
              </w:rPr>
              <w:t>过程</w:t>
            </w:r>
            <w:proofErr w:type="gramStart"/>
            <w:r>
              <w:rPr>
                <w:rFonts w:ascii="仿宋" w:eastAsia="仿宋" w:hAnsi="仿宋" w:cs="宋体" w:hint="eastAsia"/>
                <w:sz w:val="22"/>
                <w:szCs w:val="22"/>
              </w:rPr>
              <w:t>考核占</w:t>
            </w:r>
            <w:proofErr w:type="gramEnd"/>
            <w:r>
              <w:rPr>
                <w:rFonts w:ascii="仿宋" w:eastAsia="仿宋" w:hAnsi="仿宋" w:cs="宋体" w:hint="eastAsia"/>
                <w:sz w:val="22"/>
                <w:szCs w:val="22"/>
              </w:rPr>
              <w:t>比不低于</w:t>
            </w:r>
            <w:r>
              <w:rPr>
                <w:rFonts w:ascii="仿宋" w:eastAsia="仿宋" w:hAnsi="仿宋" w:cs="宋体" w:hint="eastAsia"/>
                <w:sz w:val="22"/>
                <w:szCs w:val="22"/>
              </w:rPr>
              <w:t>40%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，形式多样（出勤不能作为考核成绩）。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10 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/>
            <w:shd w:val="clear" w:color="000000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5-2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开放性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结课考核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方式合理，需设置一定量的非标准答案试题等；针对课程目标达成情况，开展课程考核分析。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5 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 w:val="restart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6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学习效果</w:t>
            </w: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6-1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互动性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sz w:val="22"/>
                <w:szCs w:val="22"/>
              </w:rPr>
              <w:t>学生课堂学习参与度高，生生、师生互动性强。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5 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/>
            <w:shd w:val="clear" w:color="000000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6-3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达成度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sz w:val="22"/>
                <w:szCs w:val="22"/>
              </w:rPr>
              <w:t>课程目标达成度高，总评成绩及格率高于</w:t>
            </w:r>
            <w:r>
              <w:rPr>
                <w:rFonts w:ascii="仿宋" w:eastAsia="仿宋" w:hAnsi="仿宋" w:cs="宋体" w:hint="eastAsia"/>
                <w:sz w:val="22"/>
                <w:szCs w:val="22"/>
              </w:rPr>
              <w:t>9</w:t>
            </w:r>
            <w:r>
              <w:rPr>
                <w:rFonts w:ascii="仿宋" w:eastAsia="仿宋" w:hAnsi="仿宋" w:cs="宋体" w:hint="eastAsia"/>
                <w:sz w:val="22"/>
                <w:szCs w:val="22"/>
              </w:rPr>
              <w:t>0%</w:t>
            </w:r>
            <w:r>
              <w:rPr>
                <w:rFonts w:ascii="仿宋" w:eastAsia="仿宋" w:hAnsi="仿宋" w:cs="宋体" w:hint="eastAsia"/>
                <w:sz w:val="22"/>
                <w:szCs w:val="22"/>
              </w:rPr>
              <w:t>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0363D7">
        <w:trPr>
          <w:trHeight w:val="876"/>
          <w:jc w:val="center"/>
        </w:trPr>
        <w:tc>
          <w:tcPr>
            <w:tcW w:w="1531" w:type="dxa"/>
            <w:vMerge/>
            <w:shd w:val="clear" w:color="000000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75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6-4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质量评价</w:t>
            </w:r>
          </w:p>
        </w:tc>
        <w:tc>
          <w:tcPr>
            <w:tcW w:w="5221" w:type="dxa"/>
            <w:shd w:val="clear" w:color="000000" w:fill="auto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学生对课程满意度高，教学质量网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评平均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成绩处于所在院系名列前茅。</w:t>
            </w:r>
          </w:p>
        </w:tc>
        <w:tc>
          <w:tcPr>
            <w:tcW w:w="842" w:type="dxa"/>
            <w:shd w:val="clear" w:color="000000" w:fill="auto"/>
            <w:vAlign w:val="center"/>
          </w:tcPr>
          <w:p w:rsidR="000363D7" w:rsidRDefault="00D77183">
            <w:pPr>
              <w:widowControl/>
              <w:spacing w:line="520" w:lineRule="exact"/>
              <w:jc w:val="center"/>
              <w:textAlignment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5 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</w:p>
        </w:tc>
      </w:tr>
    </w:tbl>
    <w:p w:rsidR="000363D7" w:rsidRDefault="000363D7">
      <w:pPr>
        <w:adjustRightInd w:val="0"/>
        <w:snapToGrid w:val="0"/>
        <w:spacing w:line="276" w:lineRule="auto"/>
        <w:rPr>
          <w:rFonts w:ascii="仿宋_GB2312" w:eastAsia="仿宋_GB2312" w:hAnsi="仿宋_GB2312" w:cs="仿宋_GB2312"/>
          <w:color w:val="000000" w:themeColor="text1"/>
          <w:kern w:val="0"/>
          <w:sz w:val="24"/>
        </w:rPr>
      </w:pPr>
    </w:p>
    <w:p w:rsidR="000363D7" w:rsidRDefault="00D77183">
      <w:pPr>
        <w:rPr>
          <w:rFonts w:ascii="方正仿宋_GBK" w:hAnsi="仿宋"/>
          <w:color w:val="000000"/>
          <w:szCs w:val="32"/>
        </w:rPr>
      </w:pPr>
      <w:r>
        <w:rPr>
          <w:rFonts w:ascii="方正仿宋_GBK" w:hAnsi="仿宋" w:hint="eastAsia"/>
          <w:color w:val="000000"/>
          <w:szCs w:val="32"/>
        </w:rPr>
        <w:br w:type="page"/>
      </w:r>
    </w:p>
    <w:p w:rsidR="00B74769" w:rsidRDefault="00B74769" w:rsidP="00B74769">
      <w:pPr>
        <w:adjustRightInd w:val="0"/>
        <w:snapToGrid w:val="0"/>
        <w:spacing w:line="276" w:lineRule="auto"/>
        <w:rPr>
          <w:rFonts w:ascii="方正仿宋_GBK" w:hAnsi="仿宋"/>
          <w:color w:val="000000"/>
          <w:szCs w:val="32"/>
        </w:rPr>
      </w:pPr>
      <w:r>
        <w:rPr>
          <w:rFonts w:ascii="方正仿宋_GBK" w:hAnsi="仿宋" w:hint="eastAsia"/>
          <w:color w:val="000000"/>
          <w:szCs w:val="32"/>
        </w:rPr>
        <w:lastRenderedPageBreak/>
        <w:t>附件4-</w:t>
      </w:r>
      <w:r>
        <w:rPr>
          <w:rFonts w:ascii="方正仿宋_GBK" w:hAnsi="仿宋" w:hint="eastAsia"/>
          <w:color w:val="000000"/>
          <w:szCs w:val="32"/>
        </w:rPr>
        <w:t>2</w:t>
      </w:r>
    </w:p>
    <w:p w:rsidR="000363D7" w:rsidRDefault="00D77183" w:rsidP="00B74769">
      <w:pPr>
        <w:adjustRightInd w:val="0"/>
        <w:snapToGrid w:val="0"/>
        <w:spacing w:line="276" w:lineRule="auto"/>
        <w:jc w:val="center"/>
        <w:rPr>
          <w:rFonts w:ascii="方正仿宋_GBK" w:hAnsi="方正仿宋_GBK" w:cs="方正仿宋_GBK"/>
          <w:b/>
          <w:color w:val="000000"/>
          <w:szCs w:val="32"/>
        </w:rPr>
      </w:pPr>
      <w:bookmarkStart w:id="0" w:name="_GoBack"/>
      <w:bookmarkEnd w:id="0"/>
      <w:r>
        <w:rPr>
          <w:rFonts w:ascii="方正仿宋_GBK" w:hAnsi="方正仿宋_GBK" w:cs="方正仿宋_GBK" w:hint="eastAsia"/>
          <w:b/>
          <w:color w:val="000000"/>
          <w:szCs w:val="32"/>
        </w:rPr>
        <w:t>校级线上线下</w:t>
      </w:r>
      <w:r>
        <w:rPr>
          <w:rFonts w:ascii="方正仿宋_GBK" w:hAnsi="方正仿宋_GBK" w:cs="方正仿宋_GBK"/>
          <w:b/>
          <w:color w:val="000000"/>
          <w:szCs w:val="32"/>
        </w:rPr>
        <w:t>混合式</w:t>
      </w:r>
      <w:r>
        <w:rPr>
          <w:rFonts w:ascii="方正仿宋_GBK" w:hAnsi="方正仿宋_GBK" w:cs="方正仿宋_GBK" w:hint="eastAsia"/>
          <w:b/>
          <w:szCs w:val="32"/>
        </w:rPr>
        <w:t>一流本科课程</w:t>
      </w:r>
      <w:r>
        <w:rPr>
          <w:rFonts w:ascii="方正仿宋_GBK" w:hAnsi="方正仿宋_GBK" w:cs="方正仿宋_GBK" w:hint="eastAsia"/>
          <w:b/>
          <w:color w:val="000000"/>
          <w:szCs w:val="32"/>
        </w:rPr>
        <w:t>建设</w:t>
      </w:r>
      <w:r>
        <w:rPr>
          <w:rFonts w:ascii="方正仿宋_GBK" w:hAnsi="方正仿宋_GBK" w:cs="方正仿宋_GBK" w:hint="eastAsia"/>
          <w:b/>
          <w:color w:val="000000"/>
          <w:szCs w:val="32"/>
        </w:rPr>
        <w:t>与</w:t>
      </w:r>
      <w:r>
        <w:rPr>
          <w:rFonts w:ascii="方正仿宋_GBK" w:hAnsi="方正仿宋_GBK" w:cs="方正仿宋_GBK" w:hint="eastAsia"/>
          <w:b/>
          <w:color w:val="000000"/>
          <w:szCs w:val="32"/>
        </w:rPr>
        <w:t>验收标准</w:t>
      </w:r>
    </w:p>
    <w:tbl>
      <w:tblPr>
        <w:tblW w:w="91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1551"/>
        <w:gridCol w:w="5213"/>
        <w:gridCol w:w="950"/>
      </w:tblGrid>
      <w:tr w:rsidR="000363D7">
        <w:trPr>
          <w:trHeight w:val="796"/>
          <w:tblHeader/>
          <w:jc w:val="center"/>
        </w:trPr>
        <w:tc>
          <w:tcPr>
            <w:tcW w:w="1467" w:type="dxa"/>
            <w:shd w:val="clear" w:color="000000" w:fill="F8F8F8"/>
            <w:vAlign w:val="center"/>
          </w:tcPr>
          <w:p w:rsidR="000363D7" w:rsidRDefault="00D7718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一级指标</w:t>
            </w:r>
          </w:p>
        </w:tc>
        <w:tc>
          <w:tcPr>
            <w:tcW w:w="1551" w:type="dxa"/>
            <w:shd w:val="clear" w:color="000000" w:fill="F8F8F8"/>
            <w:vAlign w:val="center"/>
          </w:tcPr>
          <w:p w:rsidR="000363D7" w:rsidRDefault="00D7718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二级指标</w:t>
            </w:r>
          </w:p>
        </w:tc>
        <w:tc>
          <w:tcPr>
            <w:tcW w:w="5213" w:type="dxa"/>
            <w:shd w:val="clear" w:color="000000" w:fill="F8F8F8"/>
            <w:vAlign w:val="center"/>
          </w:tcPr>
          <w:p w:rsidR="000363D7" w:rsidRDefault="00D7718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基本要求</w:t>
            </w:r>
          </w:p>
        </w:tc>
        <w:tc>
          <w:tcPr>
            <w:tcW w:w="950" w:type="dxa"/>
            <w:shd w:val="clear" w:color="000000" w:fill="F8F8F8"/>
            <w:vAlign w:val="center"/>
          </w:tcPr>
          <w:p w:rsidR="000363D7" w:rsidRDefault="00D7718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2"/>
                <w:szCs w:val="22"/>
              </w:rPr>
              <w:t>分值</w:t>
            </w:r>
          </w:p>
        </w:tc>
      </w:tr>
      <w:tr w:rsidR="000363D7">
        <w:trPr>
          <w:trHeight w:val="1365"/>
          <w:jc w:val="center"/>
        </w:trPr>
        <w:tc>
          <w:tcPr>
            <w:tcW w:w="1467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 xml:space="preserve">1 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课程目标</w:t>
            </w: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1-1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融合性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“价值塑造、能力培养、知识建构”目标有机融合，有力支撑毕业要求，注重思维训练与高阶知识、高阶能力的培养。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 w:themeColor="text1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</w:t>
            </w:r>
          </w:p>
        </w:tc>
      </w:tr>
      <w:tr w:rsidR="000363D7">
        <w:trPr>
          <w:trHeight w:val="1365"/>
          <w:jc w:val="center"/>
        </w:trPr>
        <w:tc>
          <w:tcPr>
            <w:tcW w:w="1467" w:type="dxa"/>
            <w:vMerge w:val="restart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课程团队</w:t>
            </w: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2-1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课程负责人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师德师风良好，具有丰富的教学经验和较高学术造诣，教学水平高，在推进课程教学改革中投入精力大，有一定影响度。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1086"/>
          <w:jc w:val="center"/>
        </w:trPr>
        <w:tc>
          <w:tcPr>
            <w:tcW w:w="1467" w:type="dxa"/>
            <w:vMerge/>
            <w:shd w:val="clear" w:color="auto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2-2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团队成员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主讲教师师德师风良好、教学能力强，教学表现力强，课程团队结构合理，团队教师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有线上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课程建设经验。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461"/>
          <w:jc w:val="center"/>
        </w:trPr>
        <w:tc>
          <w:tcPr>
            <w:tcW w:w="1467" w:type="dxa"/>
            <w:vMerge w:val="restart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3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课程内容</w:t>
            </w: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3-1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思想性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坚持立德树人，能够将思想政治教育内化为课程内容，弘扬社会主义核心价值观。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461"/>
          <w:jc w:val="center"/>
        </w:trPr>
        <w:tc>
          <w:tcPr>
            <w:tcW w:w="1467" w:type="dxa"/>
            <w:vMerge/>
            <w:shd w:val="clear" w:color="000000" w:fill="FFFFFF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3-2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科学性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课程内容规范完整，体现前沿性和时代性，反映学科专业最新发展成果和教改教研成果，具有较高的科学性，内容更新和完善及时。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942"/>
          <w:jc w:val="center"/>
        </w:trPr>
        <w:tc>
          <w:tcPr>
            <w:tcW w:w="1467" w:type="dxa"/>
            <w:vMerge w:val="restart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4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教学设计</w:t>
            </w: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4-1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高阶性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课程教学设计包含知识、能力、素质有机融合，培养学生解决复杂问题的综合能力和高级思维。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1378"/>
          <w:jc w:val="center"/>
        </w:trPr>
        <w:tc>
          <w:tcPr>
            <w:tcW w:w="1467" w:type="dxa"/>
            <w:vMerge/>
            <w:shd w:val="clear" w:color="auto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4-2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创新性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课程内容有前沿性和时代性并持续更新，教学形式体现先进性、多样性和互动性，充分利用线上课程资源，合理设计线下授课和线上学习的各个环节，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体现线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上资源和线下课堂相结合的优势。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973"/>
          <w:jc w:val="center"/>
        </w:trPr>
        <w:tc>
          <w:tcPr>
            <w:tcW w:w="1467" w:type="dxa"/>
            <w:vMerge/>
            <w:shd w:val="clear" w:color="auto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4-3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挑战度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课程具有一定的难度，能激发学生发挥潜能对所学知识进行融会贯通和拓展应用，培养创新性思维和批判性思维。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973"/>
          <w:jc w:val="center"/>
        </w:trPr>
        <w:tc>
          <w:tcPr>
            <w:tcW w:w="1467" w:type="dxa"/>
            <w:vMerge w:val="restart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5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课程资源</w:t>
            </w: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5-1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教学视频（自建线上课程适用）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学分不少于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8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个教学视频，每个教学视频建议时长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8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-15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分钟。同时教学视频还</w:t>
            </w:r>
            <w:proofErr w:type="gramStart"/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需能够</w:t>
            </w:r>
            <w:proofErr w:type="gramEnd"/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支撑线上教学学时数，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学时不少于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 w:themeColor="text1"/>
                <w:sz w:val="22"/>
                <w:szCs w:val="22"/>
              </w:rPr>
              <w:t>个视频。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959"/>
          <w:jc w:val="center"/>
        </w:trPr>
        <w:tc>
          <w:tcPr>
            <w:tcW w:w="1467" w:type="dxa"/>
            <w:vMerge/>
            <w:shd w:val="clear" w:color="000000" w:fill="FFFFFF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5-2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引进资源（引进线上课程适用）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所选用的线上课程资源为国家精品在线开放课程资源或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其他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在线开放课程资源。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否决性指标</w:t>
            </w:r>
          </w:p>
        </w:tc>
      </w:tr>
      <w:tr w:rsidR="000363D7">
        <w:trPr>
          <w:trHeight w:val="830"/>
          <w:jc w:val="center"/>
        </w:trPr>
        <w:tc>
          <w:tcPr>
            <w:tcW w:w="1467" w:type="dxa"/>
            <w:vMerge/>
            <w:shd w:val="clear" w:color="000000" w:fill="FFFFFF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5-3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题库建设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必须在在线学习中心自建有一定创新性或挑战性的配套测验题，每个教学模块须增加开放式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/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非标准答案测验题、案例题、讨论题等综合应用题，每学分不少于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个综合应用题。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830"/>
          <w:jc w:val="center"/>
        </w:trPr>
        <w:tc>
          <w:tcPr>
            <w:tcW w:w="1467" w:type="dxa"/>
            <w:vMerge w:val="restart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6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教学活动与教师指导</w:t>
            </w: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6-1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团队服务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按照教学计划和要求为学习者提供测验、作业、考试、答疑、讨论等教学活动，及时开展有效的指导与测评。线上辅导互动、答疑时间不得少于线上分配学时。</w:t>
            </w:r>
          </w:p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有效支撑课堂互动的完整讨论话题。每周教学活动不少于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个讨论话题，每个教学模块不少于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个测验题，学期内不少于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次综合测试。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300"/>
          <w:jc w:val="center"/>
        </w:trPr>
        <w:tc>
          <w:tcPr>
            <w:tcW w:w="1467" w:type="dxa"/>
            <w:vMerge/>
            <w:shd w:val="clear" w:color="auto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6-2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学习者活动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课堂教学过程响应度高，师生互动充分。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300"/>
          <w:jc w:val="center"/>
        </w:trPr>
        <w:tc>
          <w:tcPr>
            <w:tcW w:w="1467" w:type="dxa"/>
            <w:vMerge/>
            <w:shd w:val="clear" w:color="auto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6-3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授课安排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安排教学任务，必须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明确线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上、线下教学进程安排的具体周次，课堂面授的课时比例不得低于总课时的二分之一。第一次授课须安排在实体教室进行，由主讲教师向学生介绍课程教学安排、学习要求、学习方法及考核要求等。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否决性指标</w:t>
            </w:r>
          </w:p>
        </w:tc>
      </w:tr>
      <w:tr w:rsidR="000363D7">
        <w:trPr>
          <w:trHeight w:val="387"/>
          <w:jc w:val="center"/>
        </w:trPr>
        <w:tc>
          <w:tcPr>
            <w:tcW w:w="1467" w:type="dxa"/>
            <w:vMerge w:val="restart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7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应用效果与影响</w:t>
            </w: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7-1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质量评价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近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学期的课程教学评教结论为良好及以上，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且教学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质量网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评平均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成绩处于所在院系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名列前茅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477"/>
          <w:jc w:val="center"/>
        </w:trPr>
        <w:tc>
          <w:tcPr>
            <w:tcW w:w="1467" w:type="dxa"/>
            <w:vMerge/>
            <w:shd w:val="clear" w:color="auto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7-2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课程应用情况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将在线课程与课堂教学结合，推动教学方法改革，有效提高教学质量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  <w:tr w:rsidR="000363D7">
        <w:trPr>
          <w:trHeight w:val="477"/>
          <w:jc w:val="center"/>
        </w:trPr>
        <w:tc>
          <w:tcPr>
            <w:tcW w:w="1467" w:type="dxa"/>
            <w:vMerge/>
            <w:shd w:val="clear" w:color="auto" w:fill="auto"/>
            <w:vAlign w:val="center"/>
          </w:tcPr>
          <w:p w:rsidR="000363D7" w:rsidRDefault="000363D7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7-3 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持续改进情况</w:t>
            </w:r>
          </w:p>
        </w:tc>
        <w:tc>
          <w:tcPr>
            <w:tcW w:w="5213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left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课程根据教学效果反馈，对教学方式、课程内容、考试、答疑等进行持续改进。</w:t>
            </w:r>
          </w:p>
        </w:tc>
        <w:tc>
          <w:tcPr>
            <w:tcW w:w="950" w:type="dxa"/>
            <w:shd w:val="clear" w:color="000000" w:fill="FFFFFF"/>
            <w:vAlign w:val="center"/>
          </w:tcPr>
          <w:p w:rsidR="000363D7" w:rsidRDefault="00D77183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</w:t>
            </w:r>
          </w:p>
        </w:tc>
      </w:tr>
    </w:tbl>
    <w:p w:rsidR="000363D7" w:rsidRDefault="000363D7">
      <w:pPr>
        <w:rPr>
          <w:rFonts w:ascii="仿宋_GB2312" w:eastAsia="仿宋_GB2312" w:hAnsi="仿宋"/>
          <w:sz w:val="24"/>
        </w:rPr>
      </w:pPr>
    </w:p>
    <w:sectPr w:rsidR="000363D7">
      <w:headerReference w:type="default" r:id="rId8"/>
      <w:footerReference w:type="default" r:id="rId9"/>
      <w:pgSz w:w="11906" w:h="16838"/>
      <w:pgMar w:top="1270" w:right="1080" w:bottom="1270" w:left="1080" w:header="851" w:footer="1531" w:gutter="0"/>
      <w:pgNumType w:fmt="numberInDash"/>
      <w:cols w:space="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183" w:rsidRDefault="00D77183">
      <w:r>
        <w:separator/>
      </w:r>
    </w:p>
  </w:endnote>
  <w:endnote w:type="continuationSeparator" w:id="0">
    <w:p w:rsidR="00D77183" w:rsidRDefault="00D7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3D7" w:rsidRDefault="000363D7">
    <w:pPr>
      <w:pStyle w:val="a3"/>
      <w:tabs>
        <w:tab w:val="left" w:pos="8532"/>
      </w:tabs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183" w:rsidRDefault="00D77183">
      <w:r>
        <w:separator/>
      </w:r>
    </w:p>
  </w:footnote>
  <w:footnote w:type="continuationSeparator" w:id="0">
    <w:p w:rsidR="00D77183" w:rsidRDefault="00D77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3D7" w:rsidRDefault="000363D7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65AA4"/>
    <w:rsid w:val="000363D7"/>
    <w:rsid w:val="001A1DD5"/>
    <w:rsid w:val="00295209"/>
    <w:rsid w:val="00425573"/>
    <w:rsid w:val="005F5A56"/>
    <w:rsid w:val="00811C9C"/>
    <w:rsid w:val="00943853"/>
    <w:rsid w:val="009E14AF"/>
    <w:rsid w:val="00B74769"/>
    <w:rsid w:val="00CD1F85"/>
    <w:rsid w:val="00D04F5B"/>
    <w:rsid w:val="00D155FC"/>
    <w:rsid w:val="00D241F9"/>
    <w:rsid w:val="00D77183"/>
    <w:rsid w:val="00F51D12"/>
    <w:rsid w:val="00F809EA"/>
    <w:rsid w:val="00F96307"/>
    <w:rsid w:val="010A4A58"/>
    <w:rsid w:val="0123129E"/>
    <w:rsid w:val="021B1F2E"/>
    <w:rsid w:val="02242FE3"/>
    <w:rsid w:val="028B2D45"/>
    <w:rsid w:val="02937632"/>
    <w:rsid w:val="049550C5"/>
    <w:rsid w:val="04DF5E64"/>
    <w:rsid w:val="05011495"/>
    <w:rsid w:val="07456283"/>
    <w:rsid w:val="084B56A7"/>
    <w:rsid w:val="08873554"/>
    <w:rsid w:val="0BC7407B"/>
    <w:rsid w:val="0BF1370A"/>
    <w:rsid w:val="0C577D65"/>
    <w:rsid w:val="0C816D40"/>
    <w:rsid w:val="0DC91766"/>
    <w:rsid w:val="0E231839"/>
    <w:rsid w:val="0EF6200F"/>
    <w:rsid w:val="1149774A"/>
    <w:rsid w:val="11A63CC5"/>
    <w:rsid w:val="12582295"/>
    <w:rsid w:val="12A65347"/>
    <w:rsid w:val="13894E3A"/>
    <w:rsid w:val="13CF3AE3"/>
    <w:rsid w:val="19F67577"/>
    <w:rsid w:val="1A4162E3"/>
    <w:rsid w:val="1B9A4615"/>
    <w:rsid w:val="1BC32D0F"/>
    <w:rsid w:val="1DD044D4"/>
    <w:rsid w:val="1E6E0F80"/>
    <w:rsid w:val="1FF36E57"/>
    <w:rsid w:val="2237007D"/>
    <w:rsid w:val="234825D5"/>
    <w:rsid w:val="235A6766"/>
    <w:rsid w:val="24241A94"/>
    <w:rsid w:val="2E9D3404"/>
    <w:rsid w:val="2EA913C6"/>
    <w:rsid w:val="2F987FFE"/>
    <w:rsid w:val="30B208A4"/>
    <w:rsid w:val="30D574F9"/>
    <w:rsid w:val="32F37B4D"/>
    <w:rsid w:val="337624E8"/>
    <w:rsid w:val="3421453F"/>
    <w:rsid w:val="360E74F2"/>
    <w:rsid w:val="389F1CD9"/>
    <w:rsid w:val="3A092EE1"/>
    <w:rsid w:val="3AF4750C"/>
    <w:rsid w:val="406B55C1"/>
    <w:rsid w:val="407852BA"/>
    <w:rsid w:val="409A1CB9"/>
    <w:rsid w:val="410A2C58"/>
    <w:rsid w:val="412C78E7"/>
    <w:rsid w:val="41A76903"/>
    <w:rsid w:val="428942B2"/>
    <w:rsid w:val="42945C3D"/>
    <w:rsid w:val="43484507"/>
    <w:rsid w:val="43A75CEB"/>
    <w:rsid w:val="45660650"/>
    <w:rsid w:val="465E50B2"/>
    <w:rsid w:val="46A55274"/>
    <w:rsid w:val="474B7AC1"/>
    <w:rsid w:val="4795589E"/>
    <w:rsid w:val="489C3F65"/>
    <w:rsid w:val="4A6D0B86"/>
    <w:rsid w:val="4C46177D"/>
    <w:rsid w:val="4D9C4351"/>
    <w:rsid w:val="50C65AA4"/>
    <w:rsid w:val="523D4035"/>
    <w:rsid w:val="53B75F75"/>
    <w:rsid w:val="545454B8"/>
    <w:rsid w:val="54B656C1"/>
    <w:rsid w:val="554C412F"/>
    <w:rsid w:val="5551302E"/>
    <w:rsid w:val="56B52DDC"/>
    <w:rsid w:val="570F058A"/>
    <w:rsid w:val="59E43F6B"/>
    <w:rsid w:val="5DC96571"/>
    <w:rsid w:val="5F2E3166"/>
    <w:rsid w:val="60365903"/>
    <w:rsid w:val="61334320"/>
    <w:rsid w:val="62466F58"/>
    <w:rsid w:val="63B3327D"/>
    <w:rsid w:val="641901BA"/>
    <w:rsid w:val="643C2083"/>
    <w:rsid w:val="64DD02DB"/>
    <w:rsid w:val="65FB4123"/>
    <w:rsid w:val="677D2612"/>
    <w:rsid w:val="679E3688"/>
    <w:rsid w:val="697351C9"/>
    <w:rsid w:val="6C7D5C0F"/>
    <w:rsid w:val="6D847022"/>
    <w:rsid w:val="6F883C81"/>
    <w:rsid w:val="6FFE6AE5"/>
    <w:rsid w:val="72984FF1"/>
    <w:rsid w:val="73F044ED"/>
    <w:rsid w:val="797B28BE"/>
    <w:rsid w:val="79DB1FF4"/>
    <w:rsid w:val="7A067268"/>
    <w:rsid w:val="7A534A99"/>
    <w:rsid w:val="7B500621"/>
    <w:rsid w:val="7C630C51"/>
    <w:rsid w:val="7EC8570A"/>
    <w:rsid w:val="7FE0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  <w:szCs w:val="24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4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  <w:szCs w:val="24"/>
    </w:rPr>
  </w:style>
  <w:style w:type="paragraph" w:styleId="1">
    <w:name w:val="heading 1"/>
    <w:basedOn w:val="a"/>
    <w:next w:val="a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4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334</Words>
  <Characters>1910</Characters>
  <Application>Microsoft Office Word</Application>
  <DocSecurity>0</DocSecurity>
  <Lines>15</Lines>
  <Paragraphs>4</Paragraphs>
  <ScaleCrop>false</ScaleCrop>
  <Company>Microsoft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雍素英</cp:lastModifiedBy>
  <cp:revision>6</cp:revision>
  <cp:lastPrinted>2020-01-10T01:32:00Z</cp:lastPrinted>
  <dcterms:created xsi:type="dcterms:W3CDTF">2020-01-03T01:04:00Z</dcterms:created>
  <dcterms:modified xsi:type="dcterms:W3CDTF">2021-10-09T06:57:00Z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E5C498F11494400286E47850E2519132</vt:lpwstr>
  </property>
</Properties>
</file>